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to trait variability. To investigate this possibility, we</w:t>
      </w:r>
      <w:r>
        <w:t xml:space="preserve"> </w:t>
      </w:r>
      <w:r>
        <w:t xml:space="preserve">combined two large, purpose-built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</w:t>
      </w:r>
      <w:r>
        <w:t xml:space="preserve"> </w:t>
      </w:r>
      <w:r>
        <w:t xml:space="preserve">to treat type II diabetes, and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6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36</w:t>
      </w:r>
      <w:r>
        <w:t xml:space="preserve"> </w:t>
      </w:r>
      <w:r>
        <w:t xml:space="preserve">developed by the Broad Institute allows us to query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37,38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38–40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41,42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43–45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46,47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48</w:t>
      </w:r>
      <w:r>
        <w:t xml:space="preserve">. PARP1 inhibition increases mitochondrial biogenesis</w:t>
      </w:r>
      <w:r>
        <w:rPr>
          <w:vertAlign w:val="superscript"/>
        </w:rPr>
        <w:t xml:space="preserve">49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50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51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52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53,54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55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56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57,58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59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57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60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61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are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18,19,62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ideas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63–65</w:t>
      </w:r>
      <w:r>
        <w:t xml:space="preserve">. If a transcript were both important to a</w:t>
      </w:r>
      <w:r>
        <w:t xml:space="preserve"> </w:t>
      </w:r>
      <w:r>
        <w:t xml:space="preserve">trait and subject to strong local regulation, a population would be</w:t>
      </w:r>
      <w:r>
        <w:t xml:space="preserve"> </w:t>
      </w:r>
      <w:r>
        <w:t xml:space="preserve">susceptible to extremes in phenotype that might frequently cross the</w:t>
      </w:r>
      <w:r>
        <w:t xml:space="preserve"> </w:t>
      </w:r>
      <w:r>
        <w:t xml:space="preserve">threshold to disease. Indeed, strong disruption of highly trait-relevant</w:t>
      </w:r>
      <w:r>
        <w:t xml:space="preserve"> </w:t>
      </w:r>
      <w:r>
        <w:t xml:space="preserve">genes is the cause of Mendelian disease.</w:t>
      </w:r>
    </w:p>
    <w:p>
      <w:pPr>
        <w:pStyle w:val="BodyText"/>
      </w:pPr>
      <w:r>
        <w:t xml:space="preserve">Our findings were consistent with previous observations. The composite</w:t>
      </w:r>
      <w:r>
        <w:t xml:space="preserve"> </w:t>
      </w:r>
      <w:r>
        <w:t xml:space="preserve">transcripts we identified were highly heritable and explained a high</w:t>
      </w:r>
      <w:r>
        <w:t xml:space="preserve"> </w:t>
      </w:r>
      <w:r>
        <w:t xml:space="preserve">proportion of disease risk. Transcript loadings (the degree to which</w:t>
      </w:r>
      <w:r>
        <w:t xml:space="preserve"> </w:t>
      </w:r>
      <w:r>
        <w:t xml:space="preserve">they contributed to the composite transcript) were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heritability. These strongly loaded transcripts were also enriched for</w:t>
      </w:r>
      <w:r>
        <w:t xml:space="preserve"> </w:t>
      </w:r>
      <w:r>
        <w:t xml:space="preserve">functional annotations associated with metabolic disease. The composite</w:t>
      </w:r>
      <w:r>
        <w:t xml:space="preserve"> </w:t>
      </w:r>
      <w:r>
        <w:t xml:space="preserve">transcripts were moreover able to predict obesity in an independent</w:t>
      </w:r>
      <w:r>
        <w:t xml:space="preserve"> </w:t>
      </w:r>
      <w:r>
        <w:t xml:space="preserve">cohort of mice whereas models using local eQTL only could not. Together</w:t>
      </w:r>
      <w:r>
        <w:t xml:space="preserve"> </w:t>
      </w:r>
      <w:r>
        <w:t xml:space="preserve">these observations suggest that distal gene regulation was the dominant</w:t>
      </w:r>
      <w:r>
        <w:t xml:space="preserve"> </w:t>
      </w:r>
      <w:r>
        <w:t xml:space="preserve">mode through which gene expression mediated the effect of genetic</w:t>
      </w:r>
      <w:r>
        <w:t xml:space="preserve"> </w:t>
      </w:r>
      <w:r>
        <w:t xml:space="preserve">background on complex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polygenic. It also assumes that genetic</w:t>
      </w:r>
      <w:r>
        <w:t xml:space="preserve"> </w:t>
      </w:r>
      <w:r>
        <w:t xml:space="preserve">effects are distributed across the genome. In contrast, one-dimensional,</w:t>
      </w:r>
      <w:r>
        <w:t xml:space="preserve"> </w:t>
      </w:r>
      <w:r>
        <w:t xml:space="preserve">univariate approaches assume a large, localized genetic effect. Thus,</w:t>
      </w:r>
      <w:r>
        <w:t xml:space="preserve"> </w:t>
      </w:r>
      <w:r>
        <w:t xml:space="preserve">the HDMA approach is consistent with the omnigenic model of complex</w:t>
      </w:r>
      <w:r>
        <w:t xml:space="preserve"> </w:t>
      </w:r>
      <w:r>
        <w:t xml:space="preserve">traits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rPr>
          <w:vertAlign w:val="superscript"/>
        </w:rPr>
        <w:t xml:space="preserve">66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The composite transcript is essentially a weighted vector with larger</w:t>
      </w:r>
      <w:r>
        <w:t xml:space="preserve"> </w:t>
      </w:r>
      <w:r>
        <w:t xml:space="preserve">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</w:t>
      </w:r>
      <w:r>
        <w:t xml:space="preserve"> </w:t>
      </w:r>
      <w:r>
        <w:t xml:space="preserve">There was no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67</w:t>
      </w:r>
      <w:r>
        <w:t xml:space="preserve">. Still, the transcripts with the largest loadings</w:t>
      </w:r>
      <w:r>
        <w:t xml:space="preserve"> </w:t>
      </w:r>
      <w:r>
        <w:t xml:space="preserve">had high distal heritability, low local heritability, and were enriched</w:t>
      </w:r>
      <w:r>
        <w:t xml:space="preserve"> </w:t>
      </w:r>
      <w:r>
        <w:t xml:space="preserve">for biological processes related to metabolic traits, as we would</w:t>
      </w:r>
      <w:r>
        <w:t xml:space="preserve"> </w:t>
      </w:r>
      <w:r>
        <w:t xml:space="preserve">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62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68–70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30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31–35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geen demonstrated to reverse insulin resistance and other aspects of</w:t>
      </w:r>
      <w:r>
        <w:t xml:space="preserve"> </w:t>
      </w:r>
      <w:r>
        <w:t xml:space="preserve">metabolic disease. This finding supports the causal role of these gene</w:t>
      </w:r>
      <w:r>
        <w:t xml:space="preserve"> </w:t>
      </w:r>
      <w:r>
        <w:t xml:space="preserve">signatures in pathogenesis of metabolic disease and thus their utility</w:t>
      </w:r>
      <w:r>
        <w:t xml:space="preserve"> </w:t>
      </w:r>
      <w:r>
        <w:t xml:space="preserve">in prioritizing drugs and gene targets as therapeutics.</w:t>
      </w:r>
    </w:p>
    <w:p>
      <w:pPr>
        <w:pStyle w:val="BodyText"/>
      </w:pPr>
      <w:r>
        <w:t xml:space="preserve">Another useful appllication of the composite transcripts is to pair them</w:t>
      </w:r>
      <w:r>
        <w:t xml:space="preserve"> </w:t>
      </w:r>
      <w:r>
        <w:t xml:space="preserve">with cell-type specific genes to generate hypotheses about cell</w:t>
      </w:r>
      <w:r>
        <w:t xml:space="preserve"> </w:t>
      </w:r>
      <w:r>
        <w:t xml:space="preserve">composition in individual tissues. Combining the multi-tissue,</w:t>
      </w:r>
      <w:r>
        <w:t xml:space="preserve"> </w:t>
      </w:r>
      <w:r>
        <w:t xml:space="preserve">transcriptome-wide weighted vectors with public databases and data sets</w:t>
      </w:r>
      <w:r>
        <w:t xml:space="preserve"> </w:t>
      </w:r>
      <w:r>
        <w:t xml:space="preserve">thus provides a path for generating a wide range of testable hypotheses.</w:t>
      </w:r>
      <w:r>
        <w:t xml:space="preserve"> </w:t>
      </w:r>
      <w:r>
        <w:t xml:space="preserve">Moreover, each data set presented here was derived from human tissues or</w:t>
      </w:r>
      <w:r>
        <w:t xml:space="preserve"> </w:t>
      </w:r>
      <w:r>
        <w:t xml:space="preserve">cell lines, thus demonstrating the translatability of these results.</w:t>
      </w:r>
      <w:r>
        <w:t xml:space="preserve"> </w:t>
      </w:r>
      <w:r>
        <w:t xml:space="preserve">That the mouse-derived adipose composite transcript was able to classify</w:t>
      </w:r>
      <w:r>
        <w:t xml:space="preserve"> </w:t>
      </w:r>
      <w:r>
        <w:t xml:space="preserve">human adipose tissue in terms of obesity and diabetes status further</w:t>
      </w:r>
      <w:r>
        <w:t xml:space="preserve"> </w:t>
      </w:r>
      <w:r>
        <w:t xml:space="preserve">supports the direct translatablility of these findings, utility of HDMA,</w:t>
      </w:r>
      <w:r>
        <w:t xml:space="preserve"> </w:t>
      </w:r>
      <w:r>
        <w:t xml:space="preserve">and the continued importance of mouse models of human disease in which</w:t>
      </w:r>
      <w:r>
        <w:t xml:space="preserve"> </w:t>
      </w:r>
      <w:r>
        <w:t xml:space="preserve">it is possible to obtain complete transriptomes in mutliple tissues</w:t>
      </w:r>
      <w:r>
        <w:t xml:space="preserve"> </w:t>
      </w:r>
      <w:r>
        <w:t xml:space="preserve">across large numbers of individuals.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49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8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7"/>
    <w:bookmarkStart w:id="98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8"/>
    <w:bookmarkStart w:id="99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9"/>
    <w:bookmarkStart w:id="101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1"/>
    <w:bookmarkStart w:id="103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3"/>
    <w:bookmarkStart w:id="104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4"/>
    <w:bookmarkStart w:id="105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5"/>
    <w:bookmarkStart w:id="106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6"/>
    <w:bookmarkStart w:id="107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7"/>
    <w:bookmarkStart w:id="108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8"/>
    <w:bookmarkStart w:id="109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9"/>
    <w:bookmarkStart w:id="110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0"/>
    <w:bookmarkStart w:id="111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1"/>
    <w:bookmarkStart w:id="112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2"/>
    <w:bookmarkStart w:id="113" w:name="ref-pmid17008526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3"/>
    <w:bookmarkStart w:id="114" w:name="ref-pmid30290005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4"/>
    <w:bookmarkStart w:id="115" w:name="ref-pmid30034573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5"/>
    <w:bookmarkStart w:id="116" w:name="ref-pmid2388120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6"/>
    <w:bookmarkStart w:id="117" w:name="ref-pmid21266327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7"/>
    <w:bookmarkStart w:id="118" w:name="ref-pmid24582093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8"/>
    <w:bookmarkStart w:id="119" w:name="ref-pmid3558519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9"/>
    <w:bookmarkStart w:id="120" w:name="ref-pmid30310815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0"/>
    <w:bookmarkStart w:id="121" w:name="ref-pmid11254472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1"/>
    <w:bookmarkStart w:id="122" w:name="ref-pmid23197361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2"/>
    <w:bookmarkStart w:id="123" w:name="ref-pmid2741101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3"/>
    <w:bookmarkStart w:id="124" w:name="ref-pmid25385872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4"/>
    <w:bookmarkStart w:id="125" w:name="ref-pmid3445019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5"/>
    <w:bookmarkStart w:id="126" w:name="ref-pmid21459330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6"/>
    <w:bookmarkStart w:id="127" w:name="ref-pmid12114611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7"/>
    <w:bookmarkStart w:id="128" w:name="ref-pmid3364892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8"/>
    <w:bookmarkStart w:id="129" w:name="ref-pmid28753229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9"/>
    <w:bookmarkStart w:id="130" w:name="ref-pmid28683283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0"/>
    <w:bookmarkStart w:id="131" w:name="ref-pmid15685170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1"/>
    <w:bookmarkStart w:id="132" w:name="ref-pmid33603744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2"/>
    <w:bookmarkStart w:id="133" w:name="ref-pmid322810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3"/>
    <w:bookmarkStart w:id="134" w:name="ref-pmid27007849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4"/>
    <w:bookmarkStart w:id="135" w:name="ref-pmid2882351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5"/>
    <w:bookmarkStart w:id="136" w:name="ref-pmid24520198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6"/>
    <w:bookmarkStart w:id="137" w:name="ref-pmid21190462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7"/>
    <w:bookmarkStart w:id="138" w:name="ref-pmid16631807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8"/>
    <w:bookmarkStart w:id="139" w:name="ref-pmid31051098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9"/>
    <w:bookmarkStart w:id="140" w:name="ref-pmid29782925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0"/>
    <w:bookmarkStart w:id="141" w:name="ref-pmid120821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1"/>
    <w:bookmarkStart w:id="142" w:name="ref-pmid273049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2"/>
    <w:bookmarkStart w:id="143" w:name="ref-pmid286225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3"/>
    <w:bookmarkStart w:id="144" w:name="ref-pmid2990644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4"/>
    <w:bookmarkStart w:id="145" w:name="ref-pmid221088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5"/>
    <w:bookmarkStart w:id="146" w:name="ref-pmid2353708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6"/>
    <w:bookmarkStart w:id="147" w:name="ref-pmid24993278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7"/>
    <w:bookmarkEnd w:id="148"/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2024-08-13T13:54:50Z</dcterms:created>
  <dcterms:modified xsi:type="dcterms:W3CDTF">2024-08-13T13:54:50Z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